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E0" w:rsidRPr="003539F9" w:rsidRDefault="00386FE0" w:rsidP="00386FE0">
      <w:pPr>
        <w:pStyle w:val="Kop1"/>
        <w:rPr>
          <w:color w:val="323E4F" w:themeColor="text2" w:themeShade="BF"/>
        </w:rPr>
      </w:pPr>
      <w:bookmarkStart w:id="0" w:name="_Toc497822287"/>
      <w:r w:rsidRPr="003539F9">
        <w:rPr>
          <w:color w:val="323E4F" w:themeColor="text2" w:themeShade="BF"/>
        </w:rPr>
        <w:t>Programma</w:t>
      </w:r>
      <w:bookmarkEnd w:id="0"/>
    </w:p>
    <w:p w:rsidR="00386FE0" w:rsidRDefault="00386FE0" w:rsidP="00386FE0">
      <w:pPr>
        <w:spacing w:after="0"/>
        <w:rPr>
          <w:color w:val="323E4F" w:themeColor="text2" w:themeShade="BF"/>
        </w:rPr>
      </w:pP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Dag 1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</w:p>
    <w:p w:rsidR="00386FE0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>8</w:t>
      </w:r>
      <w:r>
        <w:rPr>
          <w:color w:val="323E4F" w:themeColor="text2" w:themeShade="BF"/>
        </w:rPr>
        <w:t xml:space="preserve">.30 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Presentatie vitale oudere versus</w:t>
      </w:r>
      <w:r w:rsidRPr="003539F9">
        <w:rPr>
          <w:color w:val="323E4F" w:themeColor="text2" w:themeShade="BF"/>
        </w:rPr>
        <w:t xml:space="preserve"> geriatrische patiënt: </w:t>
      </w:r>
    </w:p>
    <w:p w:rsidR="00386FE0" w:rsidRPr="003539F9" w:rsidRDefault="00386FE0" w:rsidP="00386FE0">
      <w:pPr>
        <w:spacing w:after="0"/>
        <w:ind w:firstLine="708"/>
        <w:rPr>
          <w:color w:val="323E4F" w:themeColor="text2" w:themeShade="BF"/>
        </w:rPr>
      </w:pPr>
      <w:r>
        <w:rPr>
          <w:color w:val="323E4F" w:themeColor="text2" w:themeShade="BF"/>
        </w:rPr>
        <w:t>Kenmerken prognose en zorgvraag geriatrische patiënt</w:t>
      </w:r>
    </w:p>
    <w:p w:rsidR="00386FE0" w:rsidRDefault="00386FE0" w:rsidP="00386FE0">
      <w:pPr>
        <w:spacing w:after="0"/>
        <w:ind w:firstLine="708"/>
        <w:rPr>
          <w:color w:val="323E4F" w:themeColor="text2" w:themeShade="BF"/>
        </w:rPr>
      </w:pPr>
      <w:r>
        <w:rPr>
          <w:color w:val="323E4F" w:themeColor="text2" w:themeShade="BF"/>
        </w:rPr>
        <w:t>4 assen</w:t>
      </w:r>
    </w:p>
    <w:p w:rsidR="00386FE0" w:rsidRDefault="00386FE0" w:rsidP="00386FE0">
      <w:pPr>
        <w:spacing w:after="0"/>
        <w:ind w:firstLine="708"/>
        <w:rPr>
          <w:color w:val="323E4F" w:themeColor="text2" w:themeShade="BF"/>
        </w:rPr>
      </w:pPr>
      <w:r>
        <w:rPr>
          <w:color w:val="323E4F" w:themeColor="text2" w:themeShade="BF"/>
        </w:rPr>
        <w:t>Atypische klachtenpresentatie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>9.30 casusbespreking: de gevallen patiënt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ab/>
        <w:t>Differentiëren tussen vitale oudere en geriatrische patiënt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ab/>
        <w:t>Risicofactoren en oorzaken bij vallen</w:t>
      </w:r>
    </w:p>
    <w:p w:rsidR="00386FE0" w:rsidRPr="003539F9" w:rsidRDefault="00386FE0" w:rsidP="00386FE0">
      <w:pPr>
        <w:spacing w:after="0"/>
        <w:ind w:left="708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>Behandelplan en interventies gericht op risicofactoren en oorzaken om recidiefval te voorkomen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>10.15 koffie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>10.30: Casusbespreking: de patiënt met dementie: delier of dementie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ab/>
        <w:t>Cognitieve domeinen: wat is normaal en wat gaat er in het dagelijks leven mis bij dementie?</w:t>
      </w:r>
      <w:r w:rsidRPr="003539F9">
        <w:rPr>
          <w:color w:val="323E4F" w:themeColor="text2" w:themeShade="BF"/>
        </w:rPr>
        <w:tab/>
        <w:t>Alzheimer en vasculaire dementie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ab/>
        <w:t>Behandelplan bij delier</w:t>
      </w:r>
    </w:p>
    <w:p w:rsidR="00386FE0" w:rsidRPr="003539F9" w:rsidRDefault="00386FE0" w:rsidP="00386FE0">
      <w:pPr>
        <w:spacing w:after="0"/>
        <w:rPr>
          <w:color w:val="323E4F" w:themeColor="text2" w:themeShade="BF"/>
        </w:rPr>
      </w:pPr>
      <w:r w:rsidRPr="003539F9">
        <w:rPr>
          <w:color w:val="323E4F" w:themeColor="text2" w:themeShade="BF"/>
        </w:rPr>
        <w:t xml:space="preserve">11.30 Differentiëren tussen delier en dementie met behulp van workshop 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12.00: lunch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13.00: discussie ouderenmishandeling: uiting, herkenning, interventies, ondervoeding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14.00: klinisch redeneren bij de geriatrische patiënt, cognitie, dementie, delier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14.45 pauze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15.00 casusbespreking: ouderenmishandeling, vallen, ondervoeding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15.45: vervolgtraject na opname. 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16.00: evaluatie en afronding</w:t>
      </w:r>
    </w:p>
    <w:p w:rsidR="00386FE0" w:rsidRDefault="00386FE0" w:rsidP="00386FE0">
      <w:pPr>
        <w:spacing w:after="0"/>
        <w:rPr>
          <w:color w:val="323E4F" w:themeColor="text2" w:themeShade="BF"/>
        </w:rPr>
      </w:pP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Dag 2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8.30: casusbespreking atypische klachtenpresentatie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9.30: </w:t>
      </w:r>
      <w:proofErr w:type="spellStart"/>
      <w:r>
        <w:rPr>
          <w:color w:val="323E4F" w:themeColor="text2" w:themeShade="BF"/>
        </w:rPr>
        <w:t>polyfarmacy</w:t>
      </w:r>
      <w:proofErr w:type="spellEnd"/>
      <w:r>
        <w:rPr>
          <w:color w:val="323E4F" w:themeColor="text2" w:themeShade="BF"/>
        </w:rPr>
        <w:t xml:space="preserve"> spel: (contra) indicatie voor medicatie, START/STOPP criteria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10.30: pauze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10.45: informatie van en voor patiënt en naasten; hetero anamnese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11.30: casusbespreking atypische klachtenpresentatie/polyfarmacie/naasten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12.15: pauze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13.00 casus training met lotus patiënt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>14.30: pauze</w:t>
      </w:r>
    </w:p>
    <w:p w:rsidR="00386FE0" w:rsidRDefault="00386FE0" w:rsidP="00386FE0">
      <w:pPr>
        <w:spacing w:after="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14.45: casus training met lotuspatiënt </w:t>
      </w:r>
    </w:p>
    <w:p w:rsidR="00A81D5D" w:rsidRDefault="00386FE0" w:rsidP="00386FE0">
      <w:r>
        <w:rPr>
          <w:color w:val="323E4F" w:themeColor="text2" w:themeShade="BF"/>
        </w:rPr>
        <w:t>16.15: evaluatie en afronding</w:t>
      </w:r>
      <w:bookmarkStart w:id="1" w:name="_GoBack"/>
      <w:bookmarkEnd w:id="1"/>
    </w:p>
    <w:sectPr w:rsidR="00A8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E0"/>
    <w:rsid w:val="00257216"/>
    <w:rsid w:val="00386FE0"/>
    <w:rsid w:val="00F2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109D-5C6F-4BD7-B35B-D9AE7458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6FE0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86FE0"/>
    <w:pPr>
      <w:keepLines/>
      <w:spacing w:after="0" w:line="240" w:lineRule="auto"/>
      <w:outlineLvl w:val="0"/>
    </w:pPr>
    <w:rPr>
      <w:rFonts w:ascii="Calibri" w:eastAsia="Times New Roman" w:hAnsi="Calibri" w:cs="Times New Roman"/>
      <w:b/>
      <w:color w:val="17365D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6FE0"/>
    <w:rPr>
      <w:rFonts w:ascii="Calibri" w:eastAsia="Times New Roman" w:hAnsi="Calibri" w:cs="Times New Roman"/>
      <w:b/>
      <w:color w:val="17365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F0E58FA2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Brouwer</dc:creator>
  <cp:keywords/>
  <dc:description/>
  <cp:lastModifiedBy>Natasja Brouwer</cp:lastModifiedBy>
  <cp:revision>1</cp:revision>
  <dcterms:created xsi:type="dcterms:W3CDTF">2019-05-23T12:38:00Z</dcterms:created>
  <dcterms:modified xsi:type="dcterms:W3CDTF">2019-05-23T12:38:00Z</dcterms:modified>
</cp:coreProperties>
</file>